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8D" w:rsidRPr="00D02388" w:rsidRDefault="0062308D" w:rsidP="007247C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02388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phenolic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profiles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Centaurea</w:t>
      </w:r>
      <w:proofErr w:type="spellEnd"/>
      <w:r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LC-MS/MS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determination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radical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scavenging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activities</w:t>
      </w:r>
      <w:proofErr w:type="spellEnd"/>
    </w:p>
    <w:p w:rsidR="007247C1" w:rsidRPr="00D02388" w:rsidRDefault="007247C1" w:rsidP="00724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02388">
        <w:rPr>
          <w:rFonts w:ascii="Times New Roman" w:hAnsi="Times New Roman" w:cs="Times New Roman"/>
          <w:sz w:val="20"/>
          <w:szCs w:val="20"/>
        </w:rPr>
        <w:t>Burcu SÜMER TÜZÜN</w:t>
      </w:r>
      <w:r w:rsidRPr="00D023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02388">
        <w:rPr>
          <w:rFonts w:ascii="Times New Roman" w:hAnsi="Times New Roman" w:cs="Times New Roman"/>
          <w:sz w:val="20"/>
          <w:szCs w:val="20"/>
        </w:rPr>
        <w:t>, Tuğçe FAFAL</w:t>
      </w:r>
      <w:r w:rsidRPr="00D023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Bijen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KIVÇAK</w:t>
      </w:r>
      <w:r w:rsidRPr="00D02388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7247C1" w:rsidRPr="00D02388" w:rsidRDefault="007247C1" w:rsidP="007247C1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</w:pPr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¹</w:t>
      </w:r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Ege</w:t>
      </w:r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University, Faculty of </w:t>
      </w:r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Pharmacy</w:t>
      </w:r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, </w:t>
      </w:r>
      <w:proofErr w:type="spellStart"/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Pharmacognosy</w:t>
      </w:r>
      <w:proofErr w:type="spellEnd"/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Department, İzmir</w:t>
      </w:r>
      <w:r w:rsidRPr="00D0238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, Turkey</w:t>
      </w:r>
    </w:p>
    <w:p w:rsidR="007247C1" w:rsidRPr="00D02388" w:rsidRDefault="007247C1" w:rsidP="007247C1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Cs/>
          <w:color w:val="5B9BD5" w:themeColor="accent1"/>
          <w:sz w:val="20"/>
          <w:szCs w:val="20"/>
          <w:u w:val="single"/>
          <w:lang w:val="en-US" w:eastAsia="tr-TR"/>
        </w:rPr>
      </w:pPr>
      <w:r w:rsidRPr="00D02388">
        <w:rPr>
          <w:rFonts w:ascii="Times New Roman" w:eastAsia="Times New Roman" w:hAnsi="Times New Roman" w:cs="Times New Roman"/>
          <w:bCs/>
          <w:color w:val="5B9BD5" w:themeColor="accent1"/>
          <w:sz w:val="20"/>
          <w:szCs w:val="20"/>
          <w:u w:val="single"/>
          <w:lang w:val="en-US" w:eastAsia="tr-TR"/>
        </w:rPr>
        <w:t>burcusmer@gmail.com</w:t>
      </w:r>
    </w:p>
    <w:p w:rsidR="007247C1" w:rsidRPr="00D02388" w:rsidRDefault="007247C1" w:rsidP="007247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308D" w:rsidRPr="00D02388" w:rsidRDefault="0062308D" w:rsidP="007247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67E5" w:rsidRPr="00D02388" w:rsidRDefault="00777BC8" w:rsidP="007247C1">
      <w:pPr>
        <w:jc w:val="both"/>
        <w:rPr>
          <w:rFonts w:ascii="Times New Roman" w:hAnsi="Times New Roman" w:cs="Times New Roman"/>
          <w:sz w:val="20"/>
          <w:szCs w:val="20"/>
        </w:rPr>
      </w:pPr>
      <w:r w:rsidRPr="00D02388">
        <w:rPr>
          <w:rFonts w:ascii="Times New Roman" w:hAnsi="Times New Roman" w:cs="Times New Roman"/>
          <w:sz w:val="20"/>
          <w:szCs w:val="20"/>
        </w:rPr>
        <w:t>ABSTRACT</w:t>
      </w:r>
    </w:p>
    <w:p w:rsidR="00777BC8" w:rsidRPr="00D02388" w:rsidRDefault="00777BC8" w:rsidP="007247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41E" w:rsidRPr="00CC70A1" w:rsidRDefault="00777BC8" w:rsidP="00D02388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</w:pP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Centaurea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largest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genera</w:t>
      </w:r>
      <w:proofErr w:type="spellEnd"/>
      <w:r w:rsidR="00240BC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0BCE" w:rsidRPr="00D02388">
        <w:rPr>
          <w:rFonts w:ascii="Times New Roman" w:hAnsi="Times New Roman" w:cs="Times New Roman"/>
          <w:sz w:val="20"/>
          <w:szCs w:val="20"/>
        </w:rPr>
        <w:t>growing</w:t>
      </w:r>
      <w:proofErr w:type="spellEnd"/>
      <w:r w:rsidR="00240BCE" w:rsidRPr="00D023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40BCE" w:rsidRPr="00D02388">
        <w:rPr>
          <w:rFonts w:ascii="Times New Roman" w:hAnsi="Times New Roman" w:cs="Times New Roman"/>
          <w:sz w:val="20"/>
          <w:szCs w:val="20"/>
        </w:rPr>
        <w:t>Turkey</w:t>
      </w:r>
      <w:proofErr w:type="spellEnd"/>
      <w:r w:rsidR="00240BC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0BCE" w:rsidRPr="00D0238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40BC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0BCE" w:rsidRPr="00D02388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="00240BC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0BCE" w:rsidRPr="00D02388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200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genus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Centaurea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genus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rich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phenolic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content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Centaurea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examined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LC-MS/MS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examine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2388">
        <w:rPr>
          <w:rFonts w:ascii="Times New Roman" w:hAnsi="Times New Roman" w:cs="Times New Roman"/>
          <w:sz w:val="20"/>
          <w:szCs w:val="20"/>
        </w:rPr>
        <w:t>profile</w:t>
      </w:r>
      <w:proofErr w:type="gramEnd"/>
      <w:r w:rsidR="004323C8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antioxidant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the</w:t>
      </w:r>
      <w:r w:rsidR="002D3923" w:rsidRPr="00D02388">
        <w:rPr>
          <w:rFonts w:ascii="Times New Roman" w:hAnsi="Times New Roman" w:cs="Times New Roman"/>
          <w:sz w:val="20"/>
          <w:szCs w:val="20"/>
        </w:rPr>
        <w:t>se</w:t>
      </w:r>
      <w:proofErr w:type="spellEnd"/>
      <w:r w:rsidR="002D3923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3923" w:rsidRPr="00D02388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2D3923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3923" w:rsidRPr="00D02388">
        <w:rPr>
          <w:rFonts w:ascii="Times New Roman" w:hAnsi="Times New Roman" w:cs="Times New Roman"/>
          <w:sz w:val="20"/>
          <w:szCs w:val="20"/>
        </w:rPr>
        <w:t>caffeic</w:t>
      </w:r>
      <w:proofErr w:type="spellEnd"/>
      <w:r w:rsidR="002D3923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3923"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="002D3923"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D3923" w:rsidRPr="00D02388">
        <w:rPr>
          <w:rFonts w:ascii="Times New Roman" w:hAnsi="Times New Roman" w:cs="Times New Roman"/>
          <w:sz w:val="20"/>
          <w:szCs w:val="20"/>
        </w:rPr>
        <w:t>quinic</w:t>
      </w:r>
      <w:proofErr w:type="spellEnd"/>
      <w:r w:rsidR="006E1DA8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chlorogenic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elagic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apigenin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jaceosidine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eupatorin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quercetin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rutin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catechic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frequently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see</w:t>
      </w:r>
      <w:r w:rsidR="005D333A" w:rsidRPr="00D02388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5D333A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c</w:t>
      </w:r>
      <w:r w:rsidR="005D333A" w:rsidRPr="00D02388">
        <w:rPr>
          <w:rFonts w:ascii="Times New Roman" w:hAnsi="Times New Roman" w:cs="Times New Roman"/>
          <w:sz w:val="20"/>
          <w:szCs w:val="20"/>
        </w:rPr>
        <w:t>hemical</w:t>
      </w:r>
      <w:proofErr w:type="spellEnd"/>
      <w:r w:rsidR="005D333A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2388">
        <w:rPr>
          <w:rFonts w:ascii="Times New Roman" w:hAnsi="Times New Roman" w:cs="Times New Roman"/>
          <w:sz w:val="20"/>
          <w:szCs w:val="20"/>
        </w:rPr>
        <w:t>profile</w:t>
      </w:r>
      <w:proofErr w:type="gramEnd"/>
      <w:r w:rsidR="0006776F" w:rsidRPr="00D02388">
        <w:rPr>
          <w:rFonts w:ascii="Times New Roman" w:hAnsi="Times New Roman" w:cs="Times New Roman"/>
          <w:sz w:val="20"/>
          <w:szCs w:val="20"/>
        </w:rPr>
        <w:t xml:space="preserve"> </w:t>
      </w:r>
      <w:r w:rsidRPr="00D02388">
        <w:rPr>
          <w:rFonts w:ascii="Times New Roman" w:hAnsi="Times New Roman" w:cs="Times New Roman"/>
          <w:sz w:val="20"/>
          <w:szCs w:val="20"/>
        </w:rPr>
        <w:t xml:space="preserve">of </w:t>
      </w:r>
      <w:r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saligna</w:t>
      </w:r>
      <w:proofErr w:type="spellEnd"/>
      <w:r w:rsidRPr="00D02388">
        <w:rPr>
          <w:rFonts w:ascii="Times New Roman" w:hAnsi="Times New Roman" w:cs="Times New Roman"/>
          <w:i/>
          <w:sz w:val="20"/>
          <w:szCs w:val="20"/>
        </w:rPr>
        <w:t xml:space="preserve">, C.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aggregata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aggreagata</w:t>
      </w:r>
      <w:proofErr w:type="spellEnd"/>
      <w:r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r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Elazig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0450"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70450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0450" w:rsidRPr="00D02388">
        <w:rPr>
          <w:rFonts w:ascii="Times New Roman" w:hAnsi="Times New Roman" w:cs="Times New Roman"/>
          <w:sz w:val="20"/>
          <w:szCs w:val="20"/>
        </w:rPr>
        <w:t>examined</w:t>
      </w:r>
      <w:proofErr w:type="spellEnd"/>
      <w:r w:rsidR="00F70450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0450" w:rsidRPr="00D02388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F70450" w:rsidRPr="00D02388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="00F70450" w:rsidRPr="00D02388">
        <w:rPr>
          <w:rFonts w:ascii="Times New Roman" w:hAnsi="Times New Roman" w:cs="Times New Roman"/>
          <w:sz w:val="20"/>
          <w:szCs w:val="20"/>
        </w:rPr>
        <w:t>standar</w:t>
      </w:r>
      <w:r w:rsidRPr="00D02388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Jaseocidine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elagic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sirsilineol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eupatilin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hispidulin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coumaric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detected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in </w:t>
      </w:r>
      <w:r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aggregata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aggregata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Jaceosidine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sirsilineol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eupatilin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hispidulin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detected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in </w:t>
      </w:r>
      <w:r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2388">
        <w:rPr>
          <w:rFonts w:ascii="Times New Roman" w:hAnsi="Times New Roman" w:cs="Times New Roman"/>
          <w:sz w:val="20"/>
          <w:szCs w:val="20"/>
        </w:rPr>
        <w:t>Eup</w:t>
      </w:r>
      <w:r w:rsidR="00E20D19" w:rsidRPr="00D02388">
        <w:rPr>
          <w:rFonts w:ascii="Times New Roman" w:hAnsi="Times New Roman" w:cs="Times New Roman"/>
          <w:sz w:val="20"/>
          <w:szCs w:val="20"/>
        </w:rPr>
        <w:t>atilin</w:t>
      </w:r>
      <w:proofErr w:type="spellEnd"/>
      <w:r w:rsidR="00E20D1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D19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20D1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D19" w:rsidRPr="00D02388">
        <w:rPr>
          <w:rFonts w:ascii="Times New Roman" w:hAnsi="Times New Roman" w:cs="Times New Roman"/>
          <w:sz w:val="20"/>
          <w:szCs w:val="20"/>
        </w:rPr>
        <w:t>hispidulin</w:t>
      </w:r>
      <w:proofErr w:type="spellEnd"/>
      <w:r w:rsidR="00E20D1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D19"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0D1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0D19" w:rsidRPr="00D02388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Pr="00D02388">
        <w:rPr>
          <w:rFonts w:ascii="Times New Roman" w:hAnsi="Times New Roman" w:cs="Times New Roman"/>
          <w:sz w:val="20"/>
          <w:szCs w:val="20"/>
        </w:rPr>
        <w:t xml:space="preserve"> in </w:t>
      </w:r>
      <w:r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Pr="00D02388">
        <w:rPr>
          <w:rFonts w:ascii="Times New Roman" w:hAnsi="Times New Roman" w:cs="Times New Roman"/>
          <w:i/>
          <w:sz w:val="20"/>
          <w:szCs w:val="20"/>
        </w:rPr>
        <w:t>saligna</w:t>
      </w:r>
      <w:proofErr w:type="spellEnd"/>
      <w:r w:rsidRPr="00D02388">
        <w:rPr>
          <w:rFonts w:ascii="Times New Roman" w:hAnsi="Times New Roman" w:cs="Times New Roman"/>
          <w:i/>
          <w:sz w:val="20"/>
          <w:szCs w:val="20"/>
        </w:rPr>
        <w:t>.</w:t>
      </w:r>
      <w:r w:rsidR="0017223D"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DPPH</w:t>
      </w:r>
      <w:r w:rsidR="00941C7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C79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941C79" w:rsidRPr="00D02388">
        <w:rPr>
          <w:rFonts w:ascii="Times New Roman" w:hAnsi="Times New Roman" w:cs="Times New Roman"/>
          <w:sz w:val="20"/>
          <w:szCs w:val="20"/>
        </w:rPr>
        <w:t xml:space="preserve"> </w:t>
      </w:r>
      <w:r w:rsidR="00735FDF" w:rsidRPr="00D02388">
        <w:rPr>
          <w:rFonts w:ascii="Times New Roman" w:hAnsi="Times New Roman" w:cs="Times New Roman"/>
          <w:sz w:val="20"/>
          <w:szCs w:val="20"/>
        </w:rPr>
        <w:t xml:space="preserve">ABTS </w:t>
      </w:r>
      <w:proofErr w:type="spellStart"/>
      <w:r w:rsidR="00941C79" w:rsidRPr="00D02388">
        <w:rPr>
          <w:rFonts w:ascii="Times New Roman" w:hAnsi="Times New Roman" w:cs="Times New Roman"/>
          <w:sz w:val="20"/>
          <w:szCs w:val="20"/>
        </w:rPr>
        <w:t>radical</w:t>
      </w:r>
      <w:proofErr w:type="spellEnd"/>
      <w:r w:rsidR="00941C7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C79" w:rsidRPr="00D02388">
        <w:rPr>
          <w:rFonts w:ascii="Times New Roman" w:hAnsi="Times New Roman" w:cs="Times New Roman"/>
          <w:sz w:val="20"/>
          <w:szCs w:val="20"/>
        </w:rPr>
        <w:t>scavenging</w:t>
      </w:r>
      <w:proofErr w:type="spellEnd"/>
      <w:r w:rsidR="00941C7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C79" w:rsidRPr="00D02388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r w:rsidR="0017223D"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17223D" w:rsidRPr="00D02388">
        <w:rPr>
          <w:rFonts w:ascii="Times New Roman" w:hAnsi="Times New Roman" w:cs="Times New Roman"/>
          <w:i/>
          <w:sz w:val="20"/>
          <w:szCs w:val="20"/>
        </w:rPr>
        <w:t>saligna</w:t>
      </w:r>
      <w:proofErr w:type="spellEnd"/>
      <w:r w:rsidR="0017223D" w:rsidRPr="00D02388">
        <w:rPr>
          <w:rFonts w:ascii="Times New Roman" w:hAnsi="Times New Roman" w:cs="Times New Roman"/>
          <w:i/>
          <w:sz w:val="20"/>
          <w:szCs w:val="20"/>
        </w:rPr>
        <w:t xml:space="preserve">, C. </w:t>
      </w:r>
      <w:proofErr w:type="spellStart"/>
      <w:r w:rsidR="0017223D" w:rsidRPr="00D02388">
        <w:rPr>
          <w:rFonts w:ascii="Times New Roman" w:hAnsi="Times New Roman" w:cs="Times New Roman"/>
          <w:i/>
          <w:sz w:val="20"/>
          <w:szCs w:val="20"/>
        </w:rPr>
        <w:t>aggregata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223D" w:rsidRPr="00D02388">
        <w:rPr>
          <w:rFonts w:ascii="Times New Roman" w:hAnsi="Times New Roman" w:cs="Times New Roman"/>
          <w:i/>
          <w:sz w:val="20"/>
          <w:szCs w:val="20"/>
        </w:rPr>
        <w:t>aggreagata</w:t>
      </w:r>
      <w:proofErr w:type="spellEnd"/>
      <w:r w:rsidR="0017223D"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</w:t>
      </w:r>
      <w:r w:rsidR="0017223D"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17223D"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15B6C"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="00C15B6C"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241F" w:rsidRPr="00D02388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="0026241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23D" w:rsidRPr="00D02388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="0017223D" w:rsidRPr="00D02388">
        <w:rPr>
          <w:rFonts w:ascii="Times New Roman" w:hAnsi="Times New Roman" w:cs="Times New Roman"/>
          <w:sz w:val="20"/>
          <w:szCs w:val="20"/>
        </w:rPr>
        <w:t>.</w:t>
      </w:r>
      <w:r w:rsidR="004C7A7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A71" w:rsidRPr="00D0238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4C7A7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A71" w:rsidRPr="00D02388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="004C7A7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A71" w:rsidRPr="00D0238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4C7A71" w:rsidRPr="00D02388">
        <w:rPr>
          <w:rFonts w:ascii="Times New Roman" w:hAnsi="Times New Roman" w:cs="Times New Roman"/>
          <w:sz w:val="20"/>
          <w:szCs w:val="20"/>
        </w:rPr>
        <w:t xml:space="preserve">, </w:t>
      </w:r>
      <w:r w:rsidR="00AE0C7E" w:rsidRPr="00D02388">
        <w:rPr>
          <w:rFonts w:ascii="Times New Roman" w:hAnsi="Times New Roman" w:cs="Times New Roman"/>
          <w:sz w:val="20"/>
          <w:szCs w:val="20"/>
        </w:rPr>
        <w:t xml:space="preserve">DPPH </w:t>
      </w:r>
      <w:proofErr w:type="spellStart"/>
      <w:r w:rsidR="00AE0C7E" w:rsidRPr="00D02388">
        <w:rPr>
          <w:rFonts w:ascii="Times New Roman" w:hAnsi="Times New Roman" w:cs="Times New Roman"/>
          <w:sz w:val="20"/>
          <w:szCs w:val="20"/>
        </w:rPr>
        <w:t>radical</w:t>
      </w:r>
      <w:proofErr w:type="spellEnd"/>
      <w:r w:rsidR="00AE0C7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C7E" w:rsidRPr="00D02388">
        <w:rPr>
          <w:rFonts w:ascii="Times New Roman" w:hAnsi="Times New Roman" w:cs="Times New Roman"/>
          <w:sz w:val="20"/>
          <w:szCs w:val="20"/>
        </w:rPr>
        <w:t>scavening</w:t>
      </w:r>
      <w:proofErr w:type="spellEnd"/>
      <w:r w:rsidR="00AE0C7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C7E" w:rsidRPr="00D02388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AE0C7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C7E" w:rsidRPr="00D02388">
        <w:rPr>
          <w:rFonts w:ascii="Times New Roman" w:hAnsi="Times New Roman" w:cs="Times New Roman"/>
          <w:sz w:val="20"/>
          <w:szCs w:val="20"/>
        </w:rPr>
        <w:t>indicated</w:t>
      </w:r>
      <w:proofErr w:type="spellEnd"/>
      <w:r w:rsidR="00AE0C7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C7E" w:rsidRPr="00D02388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AE0C7E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5D0A"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895D0A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5D0A" w:rsidRPr="00D02388">
        <w:rPr>
          <w:rFonts w:ascii="Times New Roman" w:hAnsi="Times New Roman" w:cs="Times New Roman"/>
          <w:sz w:val="20"/>
          <w:szCs w:val="20"/>
        </w:rPr>
        <w:t>percent</w:t>
      </w:r>
      <w:proofErr w:type="spellEnd"/>
      <w:r w:rsidR="00895D0A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5D0A" w:rsidRPr="00D02388">
        <w:rPr>
          <w:rFonts w:ascii="Times New Roman" w:hAnsi="Times New Roman" w:cs="Times New Roman"/>
          <w:sz w:val="20"/>
          <w:szCs w:val="20"/>
        </w:rPr>
        <w:t>inhibition</w:t>
      </w:r>
      <w:proofErr w:type="spellEnd"/>
      <w:r w:rsidR="00895D0A"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895D0A" w:rsidRPr="00D02388">
        <w:rPr>
          <w:rFonts w:ascii="Times New Roman" w:hAnsi="Times New Roman" w:cs="Times New Roman"/>
          <w:sz w:val="20"/>
          <w:szCs w:val="20"/>
        </w:rPr>
        <w:t>ascorbic</w:t>
      </w:r>
      <w:proofErr w:type="spellEnd"/>
      <w:r w:rsidR="00895D0A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5D0A" w:rsidRPr="00D02388">
        <w:rPr>
          <w:rFonts w:ascii="Times New Roman" w:hAnsi="Times New Roman" w:cs="Times New Roman"/>
          <w:sz w:val="20"/>
          <w:szCs w:val="20"/>
        </w:rPr>
        <w:t>acid</w:t>
      </w:r>
      <w:proofErr w:type="spellEnd"/>
      <w:r w:rsidR="00895D0A" w:rsidRPr="00D02388">
        <w:rPr>
          <w:rFonts w:ascii="Times New Roman" w:hAnsi="Times New Roman" w:cs="Times New Roman"/>
          <w:sz w:val="20"/>
          <w:szCs w:val="20"/>
        </w:rPr>
        <w:t xml:space="preserve"> at 50 </w:t>
      </w:r>
      <w:proofErr w:type="spellStart"/>
      <w:r w:rsidR="00895D0A" w:rsidRPr="00D02388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895D0A" w:rsidRPr="00D02388">
        <w:rPr>
          <w:rFonts w:ascii="Times New Roman" w:hAnsi="Times New Roman" w:cs="Times New Roman"/>
          <w:sz w:val="20"/>
          <w:szCs w:val="20"/>
        </w:rPr>
        <w:t>/</w:t>
      </w:r>
      <w:r w:rsidR="00022CE0" w:rsidRPr="00D02388">
        <w:rPr>
          <w:rFonts w:ascii="Times New Roman" w:hAnsi="Times New Roman" w:cs="Times New Roman"/>
          <w:sz w:val="20"/>
          <w:szCs w:val="20"/>
        </w:rPr>
        <w:t xml:space="preserve">ml </w:t>
      </w:r>
      <w:proofErr w:type="spellStart"/>
      <w:r w:rsidR="00022CE0" w:rsidRPr="00D0238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 98%. </w:t>
      </w:r>
      <w:r w:rsidR="00404C1B" w:rsidRPr="00D02388">
        <w:rPr>
          <w:rFonts w:ascii="Times New Roman" w:hAnsi="Times New Roman" w:cs="Times New Roman"/>
          <w:sz w:val="20"/>
          <w:szCs w:val="20"/>
        </w:rPr>
        <w:t xml:space="preserve">At a </w:t>
      </w:r>
      <w:proofErr w:type="spellStart"/>
      <w:r w:rsidR="00404C1B" w:rsidRPr="00D02388">
        <w:rPr>
          <w:rFonts w:ascii="Times New Roman" w:hAnsi="Times New Roman" w:cs="Times New Roman"/>
          <w:sz w:val="20"/>
          <w:szCs w:val="20"/>
        </w:rPr>
        <w:t>concentration</w:t>
      </w:r>
      <w:proofErr w:type="spellEnd"/>
      <w:r w:rsidR="00404C1B" w:rsidRPr="00D02388">
        <w:rPr>
          <w:rFonts w:ascii="Times New Roman" w:hAnsi="Times New Roman" w:cs="Times New Roman"/>
          <w:sz w:val="20"/>
          <w:szCs w:val="20"/>
        </w:rPr>
        <w:t xml:space="preserve"> of 750 </w:t>
      </w:r>
      <w:proofErr w:type="spellStart"/>
      <w:r w:rsidR="00404C1B" w:rsidRPr="00D02388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404C1B" w:rsidRPr="00D02388">
        <w:rPr>
          <w:rFonts w:ascii="Times New Roman" w:hAnsi="Times New Roman" w:cs="Times New Roman"/>
          <w:sz w:val="20"/>
          <w:szCs w:val="20"/>
        </w:rPr>
        <w:t>/ml</w:t>
      </w:r>
      <w:r w:rsidR="00F56092" w:rsidRPr="00D02388">
        <w:rPr>
          <w:rFonts w:ascii="Times New Roman" w:hAnsi="Times New Roman" w:cs="Times New Roman"/>
          <w:sz w:val="20"/>
          <w:szCs w:val="20"/>
        </w:rPr>
        <w:t>,</w:t>
      </w:r>
      <w:r w:rsidR="00B36109" w:rsidRPr="00D02388">
        <w:rPr>
          <w:rFonts w:ascii="Times New Roman" w:hAnsi="Times New Roman" w:cs="Times New Roman"/>
          <w:sz w:val="20"/>
          <w:szCs w:val="20"/>
        </w:rPr>
        <w:t xml:space="preserve"> </w:t>
      </w:r>
      <w:r w:rsidR="00022CE0"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022CE0" w:rsidRPr="00D02388">
        <w:rPr>
          <w:rFonts w:ascii="Times New Roman" w:hAnsi="Times New Roman" w:cs="Times New Roman"/>
          <w:i/>
          <w:sz w:val="20"/>
          <w:szCs w:val="20"/>
        </w:rPr>
        <w:t>saligna</w:t>
      </w:r>
      <w:proofErr w:type="spellEnd"/>
      <w:r w:rsidR="00022CE0" w:rsidRPr="00D02388">
        <w:rPr>
          <w:rFonts w:ascii="Times New Roman" w:hAnsi="Times New Roman" w:cs="Times New Roman"/>
          <w:i/>
          <w:sz w:val="20"/>
          <w:szCs w:val="20"/>
        </w:rPr>
        <w:t xml:space="preserve">, C. </w:t>
      </w:r>
      <w:proofErr w:type="spellStart"/>
      <w:r w:rsidR="00022CE0" w:rsidRPr="00D02388">
        <w:rPr>
          <w:rFonts w:ascii="Times New Roman" w:hAnsi="Times New Roman" w:cs="Times New Roman"/>
          <w:i/>
          <w:sz w:val="20"/>
          <w:szCs w:val="20"/>
        </w:rPr>
        <w:t>aggregata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2CE0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22CE0" w:rsidRPr="00D02388">
        <w:rPr>
          <w:rFonts w:ascii="Times New Roman" w:hAnsi="Times New Roman" w:cs="Times New Roman"/>
          <w:i/>
          <w:sz w:val="20"/>
          <w:szCs w:val="20"/>
        </w:rPr>
        <w:t>aggreagata</w:t>
      </w:r>
      <w:proofErr w:type="spellEnd"/>
      <w:r w:rsidR="00022CE0"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2CE0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 </w:t>
      </w:r>
      <w:r w:rsidR="00022CE0"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022CE0"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2CE0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22CE0"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="00022CE0"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2CE0" w:rsidRPr="00D02388">
        <w:rPr>
          <w:rFonts w:ascii="Times New Roman" w:hAnsi="Times New Roman" w:cs="Times New Roman"/>
          <w:sz w:val="20"/>
          <w:szCs w:val="20"/>
        </w:rPr>
        <w:t>show</w:t>
      </w:r>
      <w:r w:rsidR="004323C8" w:rsidRPr="00D02388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 91.29%, 67.77% </w:t>
      </w:r>
      <w:proofErr w:type="spellStart"/>
      <w:r w:rsidR="00022CE0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 xml:space="preserve"> 36.75 % </w:t>
      </w:r>
      <w:r w:rsidR="00FA58B6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58B6" w:rsidRPr="00D02388">
        <w:rPr>
          <w:rFonts w:ascii="Times New Roman" w:hAnsi="Times New Roman" w:cs="Times New Roman"/>
          <w:sz w:val="20"/>
          <w:szCs w:val="20"/>
        </w:rPr>
        <w:t>inhibition</w:t>
      </w:r>
      <w:proofErr w:type="spellEnd"/>
      <w:r w:rsidR="00FA58B6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2CE0" w:rsidRPr="00D02388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022CE0" w:rsidRPr="00D02388">
        <w:rPr>
          <w:rFonts w:ascii="Times New Roman" w:hAnsi="Times New Roman" w:cs="Times New Roman"/>
          <w:sz w:val="20"/>
          <w:szCs w:val="20"/>
        </w:rPr>
        <w:t>.</w:t>
      </w:r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13340" w:rsidRPr="00D02388">
        <w:rPr>
          <w:rFonts w:ascii="Times New Roman" w:hAnsi="Times New Roman" w:cs="Times New Roman"/>
          <w:sz w:val="20"/>
          <w:szCs w:val="20"/>
        </w:rPr>
        <w:t>s</w:t>
      </w:r>
      <w:r w:rsidR="00735FDF" w:rsidRPr="00D02388">
        <w:rPr>
          <w:rFonts w:ascii="Times New Roman" w:hAnsi="Times New Roman" w:cs="Times New Roman"/>
          <w:sz w:val="20"/>
          <w:szCs w:val="20"/>
        </w:rPr>
        <w:t>imilar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D02388">
        <w:rPr>
          <w:rStyle w:val="Vurgu"/>
          <w:rFonts w:ascii="Times New Roman" w:hAnsi="Times New Roman" w:cs="Times New Roman"/>
          <w:sz w:val="20"/>
          <w:szCs w:val="20"/>
        </w:rPr>
        <w:t>Centaurea</w:t>
      </w:r>
      <w:proofErr w:type="spellEnd"/>
      <w:r w:rsidR="00D02388">
        <w:rPr>
          <w:rStyle w:val="Vurgu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2388">
        <w:rPr>
          <w:rStyle w:val="Vurgu"/>
          <w:rFonts w:ascii="Times New Roman" w:hAnsi="Times New Roman" w:cs="Times New Roman"/>
          <w:sz w:val="20"/>
          <w:szCs w:val="20"/>
        </w:rPr>
        <w:t>saligna</w:t>
      </w:r>
      <w:proofErr w:type="spellEnd"/>
      <w:r w:rsidR="00D02388">
        <w:rPr>
          <w:rStyle w:val="Vurgu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C5329" w:rsidRPr="00D02388">
        <w:rPr>
          <w:rFonts w:ascii="Times New Roman" w:hAnsi="Times New Roman" w:cs="Times New Roman"/>
          <w:sz w:val="20"/>
          <w:szCs w:val="20"/>
        </w:rPr>
        <w:t>diffe</w:t>
      </w:r>
      <w:r w:rsidR="004323C8" w:rsidRPr="00D02388">
        <w:rPr>
          <w:rFonts w:ascii="Times New Roman" w:hAnsi="Times New Roman" w:cs="Times New Roman"/>
          <w:sz w:val="20"/>
          <w:szCs w:val="20"/>
        </w:rPr>
        <w:t>rent</w:t>
      </w:r>
      <w:proofErr w:type="spellEnd"/>
      <w:r w:rsidR="004323C8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3C8" w:rsidRPr="00D02388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CC5329" w:rsidRPr="00D02388">
        <w:rPr>
          <w:rFonts w:ascii="Times New Roman" w:hAnsi="Times New Roman" w:cs="Times New Roman"/>
          <w:sz w:val="20"/>
          <w:szCs w:val="20"/>
        </w:rPr>
        <w:t>,</w:t>
      </w:r>
      <w:r w:rsidR="00663625" w:rsidRPr="00D02388">
        <w:rPr>
          <w:rFonts w:ascii="Times New Roman" w:hAnsi="Times New Roman" w:cs="Times New Roman"/>
          <w:sz w:val="20"/>
          <w:szCs w:val="20"/>
        </w:rPr>
        <w:t xml:space="preserve"> DPPH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methanol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extract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r w:rsidR="00663625" w:rsidRPr="00D02388">
        <w:rPr>
          <w:rStyle w:val="Vurgu"/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663625" w:rsidRPr="00D02388">
        <w:rPr>
          <w:rStyle w:val="Vurgu"/>
          <w:rFonts w:ascii="Times New Roman" w:hAnsi="Times New Roman" w:cs="Times New Roman"/>
          <w:sz w:val="20"/>
          <w:szCs w:val="20"/>
        </w:rPr>
        <w:t>urvillei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63625" w:rsidRPr="00D02388">
        <w:rPr>
          <w:rStyle w:val="Vurgu"/>
          <w:rFonts w:ascii="Times New Roman" w:hAnsi="Times New Roman" w:cs="Times New Roman"/>
          <w:sz w:val="20"/>
          <w:szCs w:val="20"/>
        </w:rPr>
        <w:t>urvillei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Izmir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238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D02388">
        <w:rPr>
          <w:rFonts w:ascii="Times New Roman" w:hAnsi="Times New Roman" w:cs="Times New Roman"/>
          <w:sz w:val="20"/>
          <w:szCs w:val="20"/>
        </w:rPr>
        <w:t xml:space="preserve"> 91±2.98%</w:t>
      </w:r>
      <w:r w:rsidR="00663625" w:rsidRPr="00D02388">
        <w:rPr>
          <w:rFonts w:ascii="Times New Roman" w:hAnsi="Times New Roman" w:cs="Times New Roman"/>
          <w:sz w:val="20"/>
          <w:szCs w:val="20"/>
        </w:rPr>
        <w:t xml:space="preserve">. DPPH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r w:rsidR="00663625" w:rsidRPr="00D02388">
        <w:rPr>
          <w:rStyle w:val="Vurgu"/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663625" w:rsidRPr="00D02388">
        <w:rPr>
          <w:rStyle w:val="Vurgu"/>
          <w:rFonts w:ascii="Times New Roman" w:hAnsi="Times New Roman" w:cs="Times New Roman"/>
          <w:sz w:val="20"/>
          <w:szCs w:val="20"/>
        </w:rPr>
        <w:t>aggregata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63625" w:rsidRPr="00D02388">
        <w:rPr>
          <w:rStyle w:val="Vurgu"/>
          <w:rFonts w:ascii="Times New Roman" w:hAnsi="Times New Roman" w:cs="Times New Roman"/>
          <w:sz w:val="20"/>
          <w:szCs w:val="20"/>
        </w:rPr>
        <w:t>aggreagata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3625" w:rsidRPr="00D0238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663625" w:rsidRPr="00D02388">
        <w:rPr>
          <w:rFonts w:ascii="Times New Roman" w:hAnsi="Times New Roman" w:cs="Times New Roman"/>
          <w:sz w:val="20"/>
          <w:szCs w:val="20"/>
        </w:rPr>
        <w:t xml:space="preserve"> A</w:t>
      </w:r>
      <w:r w:rsidR="00735FDF" w:rsidRPr="00D02388">
        <w:rPr>
          <w:rFonts w:ascii="Times New Roman" w:hAnsi="Times New Roman" w:cs="Times New Roman"/>
          <w:sz w:val="20"/>
          <w:szCs w:val="20"/>
        </w:rPr>
        <w:t xml:space="preserve">natolia has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735FDF" w:rsidRPr="00D02388">
        <w:rPr>
          <w:rFonts w:ascii="Times New Roman" w:hAnsi="Times New Roman" w:cs="Times New Roman"/>
          <w:sz w:val="20"/>
          <w:szCs w:val="20"/>
        </w:rPr>
        <w:t xml:space="preserve"> be </w:t>
      </w:r>
      <w:proofErr w:type="spellStart"/>
      <w:r w:rsidR="00735FDF" w:rsidRPr="00D02388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24239C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proofErr w:type="spellStart"/>
      <w:r w:rsidR="004323C8" w:rsidRPr="00D02388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4323C8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3C8" w:rsidRPr="00D0238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4323C8" w:rsidRPr="00D02388">
        <w:rPr>
          <w:rFonts w:ascii="Times New Roman" w:hAnsi="Times New Roman" w:cs="Times New Roman"/>
          <w:sz w:val="20"/>
          <w:szCs w:val="20"/>
        </w:rPr>
        <w:t xml:space="preserve"> ABTS </w:t>
      </w:r>
      <w:proofErr w:type="spellStart"/>
      <w:r w:rsidR="004323C8" w:rsidRPr="00D02388">
        <w:rPr>
          <w:rFonts w:ascii="Times New Roman" w:hAnsi="Times New Roman" w:cs="Times New Roman"/>
          <w:sz w:val="20"/>
          <w:szCs w:val="20"/>
        </w:rPr>
        <w:t>scavenging</w:t>
      </w:r>
      <w:proofErr w:type="spellEnd"/>
      <w:r w:rsidR="004323C8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3C8" w:rsidRPr="00D02388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4323C8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trolox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equivalents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of </w:t>
      </w:r>
      <w:r w:rsidR="006A04E9"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6A04E9" w:rsidRPr="00D02388">
        <w:rPr>
          <w:rFonts w:ascii="Times New Roman" w:hAnsi="Times New Roman" w:cs="Times New Roman"/>
          <w:i/>
          <w:sz w:val="20"/>
          <w:szCs w:val="20"/>
        </w:rPr>
        <w:t>saligna</w:t>
      </w:r>
      <w:proofErr w:type="spellEnd"/>
      <w:r w:rsidR="006A04E9" w:rsidRPr="00D02388">
        <w:rPr>
          <w:rFonts w:ascii="Times New Roman" w:hAnsi="Times New Roman" w:cs="Times New Roman"/>
          <w:i/>
          <w:sz w:val="20"/>
          <w:szCs w:val="20"/>
        </w:rPr>
        <w:t xml:space="preserve">, C. </w:t>
      </w:r>
      <w:proofErr w:type="spellStart"/>
      <w:r w:rsidR="006A04E9" w:rsidRPr="00D02388">
        <w:rPr>
          <w:rFonts w:ascii="Times New Roman" w:hAnsi="Times New Roman" w:cs="Times New Roman"/>
          <w:i/>
          <w:sz w:val="20"/>
          <w:szCs w:val="20"/>
        </w:rPr>
        <w:t>aggregata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04E9" w:rsidRPr="00D02388">
        <w:rPr>
          <w:rFonts w:ascii="Times New Roman" w:hAnsi="Times New Roman" w:cs="Times New Roman"/>
          <w:i/>
          <w:sz w:val="20"/>
          <w:szCs w:val="20"/>
        </w:rPr>
        <w:t>aggreagata</w:t>
      </w:r>
      <w:proofErr w:type="spellEnd"/>
      <w:r w:rsidR="006A04E9" w:rsidRPr="00D0238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</w:t>
      </w:r>
      <w:r w:rsidR="006A04E9" w:rsidRPr="00D02388">
        <w:rPr>
          <w:rFonts w:ascii="Times New Roman" w:hAnsi="Times New Roman" w:cs="Times New Roman"/>
          <w:i/>
          <w:sz w:val="20"/>
          <w:szCs w:val="20"/>
        </w:rPr>
        <w:t xml:space="preserve">C. </w:t>
      </w:r>
      <w:proofErr w:type="spellStart"/>
      <w:r w:rsidR="006A04E9"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04E9" w:rsidRPr="00D02388">
        <w:rPr>
          <w:rFonts w:ascii="Times New Roman" w:hAnsi="Times New Roman" w:cs="Times New Roman"/>
          <w:i/>
          <w:sz w:val="20"/>
          <w:szCs w:val="20"/>
        </w:rPr>
        <w:t>urvillei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01D3" w:rsidRPr="00D0238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801D3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01D3" w:rsidRPr="00D02388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="003801D3" w:rsidRPr="00D02388">
        <w:rPr>
          <w:rFonts w:ascii="Times New Roman" w:hAnsi="Times New Roman" w:cs="Times New Roman"/>
          <w:sz w:val="20"/>
          <w:szCs w:val="20"/>
        </w:rPr>
        <w:t xml:space="preserve"> as </w:t>
      </w:r>
      <w:r w:rsidR="006A04E9" w:rsidRPr="00D02388">
        <w:rPr>
          <w:rFonts w:ascii="Times New Roman" w:hAnsi="Times New Roman" w:cs="Times New Roman"/>
          <w:sz w:val="20"/>
          <w:szCs w:val="20"/>
        </w:rPr>
        <w:t xml:space="preserve">22.33, 20.11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 30.91 </w:t>
      </w:r>
      <w:proofErr w:type="spellStart"/>
      <w:r w:rsidR="006A04E9" w:rsidRPr="00D02388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6A04E9" w:rsidRPr="00D02388">
        <w:rPr>
          <w:rFonts w:ascii="Times New Roman" w:hAnsi="Times New Roman" w:cs="Times New Roman"/>
          <w:sz w:val="20"/>
          <w:szCs w:val="20"/>
        </w:rPr>
        <w:t xml:space="preserve">. </w:t>
      </w:r>
      <w:r w:rsidR="007247C1" w:rsidRPr="00D02388">
        <w:rPr>
          <w:rFonts w:ascii="Times New Roman" w:hAnsi="Times New Roman" w:cs="Times New Roman"/>
          <w:sz w:val="20"/>
          <w:szCs w:val="20"/>
        </w:rPr>
        <w:t xml:space="preserve">ABTS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measured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regions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 Harput </w:t>
      </w:r>
      <w:proofErr w:type="spellStart"/>
      <w:r w:rsidR="007247C1" w:rsidRPr="00D02388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="007247C1" w:rsidRPr="00D02388">
        <w:rPr>
          <w:rFonts w:ascii="Times New Roman" w:hAnsi="Times New Roman" w:cs="Times New Roman"/>
          <w:sz w:val="20"/>
          <w:szCs w:val="20"/>
        </w:rPr>
        <w:t xml:space="preserve">. </w:t>
      </w:r>
      <w:r w:rsidR="00356552" w:rsidRPr="00D02388">
        <w:rPr>
          <w:rFonts w:ascii="Times New Roman" w:hAnsi="Times New Roman" w:cs="Times New Roman"/>
          <w:sz w:val="20"/>
          <w:szCs w:val="20"/>
        </w:rPr>
        <w:br/>
      </w:r>
      <w:r w:rsidR="00F1641E" w:rsidRPr="00D0238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 w:eastAsia="tr-TR"/>
        </w:rPr>
        <w:t xml:space="preserve">Keywords: </w:t>
      </w:r>
      <w:proofErr w:type="spellStart"/>
      <w:r w:rsidR="00F1641E" w:rsidRPr="00D02388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  <w:t>Centaurea</w:t>
      </w:r>
      <w:proofErr w:type="spellEnd"/>
      <w:r w:rsidR="00F1641E" w:rsidRPr="00D02388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  <w:t>, LC-MS, antioxidant activity</w:t>
      </w:r>
    </w:p>
    <w:p w:rsidR="00777BC8" w:rsidRPr="00022CE0" w:rsidRDefault="00777BC8" w:rsidP="007247C1">
      <w:pPr>
        <w:spacing w:line="360" w:lineRule="auto"/>
        <w:jc w:val="both"/>
      </w:pPr>
    </w:p>
    <w:sectPr w:rsidR="00777BC8" w:rsidRPr="0002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E"/>
    <w:rsid w:val="00022CE0"/>
    <w:rsid w:val="0006776F"/>
    <w:rsid w:val="0017223D"/>
    <w:rsid w:val="00240BCE"/>
    <w:rsid w:val="0024239C"/>
    <w:rsid w:val="0026241F"/>
    <w:rsid w:val="002D3923"/>
    <w:rsid w:val="00336A9F"/>
    <w:rsid w:val="003563D2"/>
    <w:rsid w:val="00356552"/>
    <w:rsid w:val="003801D3"/>
    <w:rsid w:val="00404C1B"/>
    <w:rsid w:val="00427104"/>
    <w:rsid w:val="004323C8"/>
    <w:rsid w:val="004859BE"/>
    <w:rsid w:val="004C7A71"/>
    <w:rsid w:val="00521E6F"/>
    <w:rsid w:val="005D333A"/>
    <w:rsid w:val="0062308D"/>
    <w:rsid w:val="0064547C"/>
    <w:rsid w:val="00663625"/>
    <w:rsid w:val="006A04E9"/>
    <w:rsid w:val="006E1DA8"/>
    <w:rsid w:val="007247C1"/>
    <w:rsid w:val="00735FDF"/>
    <w:rsid w:val="00765A50"/>
    <w:rsid w:val="00777BC8"/>
    <w:rsid w:val="00895D0A"/>
    <w:rsid w:val="00941C79"/>
    <w:rsid w:val="00AD3B48"/>
    <w:rsid w:val="00AE0C7E"/>
    <w:rsid w:val="00B13340"/>
    <w:rsid w:val="00B36109"/>
    <w:rsid w:val="00BB32AB"/>
    <w:rsid w:val="00C15B6C"/>
    <w:rsid w:val="00C467E5"/>
    <w:rsid w:val="00CC5329"/>
    <w:rsid w:val="00D02388"/>
    <w:rsid w:val="00DA39CB"/>
    <w:rsid w:val="00DA6EAF"/>
    <w:rsid w:val="00DF7FDA"/>
    <w:rsid w:val="00E20D19"/>
    <w:rsid w:val="00F1641E"/>
    <w:rsid w:val="00F56092"/>
    <w:rsid w:val="00F70450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3361"/>
  <w15:chartTrackingRefBased/>
  <w15:docId w15:val="{482D8854-C104-445E-AAD7-0D6E97DB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63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16</cp:revision>
  <dcterms:created xsi:type="dcterms:W3CDTF">2021-09-20T09:16:00Z</dcterms:created>
  <dcterms:modified xsi:type="dcterms:W3CDTF">2021-09-20T09:48:00Z</dcterms:modified>
</cp:coreProperties>
</file>