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AF" w:rsidRPr="00F456AF" w:rsidRDefault="00F456AF" w:rsidP="00F456AF">
      <w:pPr>
        <w:rPr>
          <w:rFonts w:ascii="Times New Roman" w:hAnsi="Times New Roman" w:cs="Times New Roman"/>
          <w:b/>
          <w:sz w:val="24"/>
          <w:szCs w:val="24"/>
        </w:rPr>
      </w:pPr>
      <w:r w:rsidRPr="00F456AF">
        <w:rPr>
          <w:rFonts w:ascii="Times New Roman" w:hAnsi="Times New Roman" w:cs="Times New Roman"/>
          <w:b/>
          <w:sz w:val="24"/>
          <w:szCs w:val="24"/>
        </w:rPr>
        <w:t xml:space="preserve">ICOMHRE </w:t>
      </w:r>
      <w:proofErr w:type="spellStart"/>
      <w:r w:rsidRPr="00F456AF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F45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b/>
          <w:sz w:val="24"/>
          <w:szCs w:val="24"/>
        </w:rPr>
        <w:t xml:space="preserve"> / Full </w:t>
      </w:r>
      <w:proofErr w:type="spellStart"/>
      <w:r w:rsidRPr="00F456AF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</w:p>
    <w:p w:rsid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Rules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>Language: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English,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250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English as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full-text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full-text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"Times New Roman" font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capitalized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), it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12-point,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250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total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English.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10-point font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watermark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format is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file as "ABS,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," it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capitalized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), it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12-point,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250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adhere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 Full-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2500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layout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A4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size, "Times New Roman" font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12-point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in 10-point font,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sequentially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Latin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Start"/>
      <w:r w:rsidRPr="00F456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).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" (SI; http://www.bipm.org/en/si/).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-h,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minute-min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-s, gram-g,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-L,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microliter-μL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-m,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Celsius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-°C,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(,)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decimal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digits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Start"/>
      <w:r w:rsidRPr="00F456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56AF">
        <w:rPr>
          <w:rFonts w:ascii="Times New Roman" w:hAnsi="Times New Roman" w:cs="Times New Roman"/>
          <w:sz w:val="24"/>
          <w:szCs w:val="24"/>
        </w:rPr>
        <w:t xml:space="preserve"> 12.3 mm, 4.5 kg/cm2, 37.2 °C). Do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Start"/>
      <w:r w:rsidRPr="00F456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56AF">
        <w:rPr>
          <w:rFonts w:ascii="Times New Roman" w:hAnsi="Times New Roman" w:cs="Times New Roman"/>
          <w:sz w:val="24"/>
          <w:szCs w:val="24"/>
        </w:rPr>
        <w:t xml:space="preserve"> %0.2).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exception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recurring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(Name,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 '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canals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Canal (XXX-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)'.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it is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mentioning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 '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(XXX-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)'.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file, it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as "FTX,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"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" format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as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informative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). Since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formulas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superscript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ORCID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ORCID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https://orcid.org/.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Author: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contacted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publication-related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underlining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postal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lastRenderedPageBreak/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6AF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Start"/>
      <w:r w:rsidRPr="00F456A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Direct).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Unavailable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(3).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(3,5-7,12).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Laskin (9)...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Akçalı &amp;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(7)...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Bozkaya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(9)...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fewer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rest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"et al.".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as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fewer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Akcalı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calculus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calcified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Periodontol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2000. 2018;76(1):109-115.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Bozkaya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S, Durmuşlar MC,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Çakir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M, et al.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alveolar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distraction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osteogenesis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placement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eight-year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Aust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J. 2016;61(2):252-256.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Pre-publication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Zancan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RF,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Maio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Tomson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PL, et al.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smear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sealers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J. 2021 Mar 24.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 10.1111/iej.13522. [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].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Pollock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AV.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Troidl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McKneally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MF,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Mulder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DS, et al.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3rd ed. Berlin: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; 1997:49-56.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lastRenderedPageBreak/>
        <w:t>Book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Simons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Menzies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Matthews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M. A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Course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Rock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Slope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 Thomas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Telford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Publishing; 2001.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Kayaoğlu G.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Enterococcus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faecalis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A197A):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]. Ankara: Gazi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; 2007.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ISO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r w:rsidRPr="00F456AF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sealing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ISO6876. International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; 2001.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: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sent in JPG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TIFF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F456AF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sequentially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p w:rsidR="002733E0" w:rsidRPr="00F456AF" w:rsidRDefault="00F456AF" w:rsidP="00F45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6AF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F456AF">
        <w:rPr>
          <w:rFonts w:ascii="Times New Roman" w:hAnsi="Times New Roman" w:cs="Times New Roman"/>
          <w:sz w:val="24"/>
          <w:szCs w:val="24"/>
        </w:rPr>
        <w:t>.</w:t>
      </w:r>
    </w:p>
    <w:sectPr w:rsidR="002733E0" w:rsidRPr="00F4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AF"/>
    <w:rsid w:val="002733E0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E0F6"/>
  <w15:chartTrackingRefBased/>
  <w15:docId w15:val="{47A4A0E1-7309-4085-8B91-FF82A83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kou</cp:lastModifiedBy>
  <cp:revision>1</cp:revision>
  <dcterms:created xsi:type="dcterms:W3CDTF">2025-07-09T22:41:00Z</dcterms:created>
  <dcterms:modified xsi:type="dcterms:W3CDTF">2025-07-09T22:43:00Z</dcterms:modified>
</cp:coreProperties>
</file>